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CD688" w14:textId="77777777" w:rsidR="00C244C2" w:rsidRPr="006B0985" w:rsidRDefault="00C244C2" w:rsidP="00C244C2">
      <w:bookmarkStart w:id="0" w:name="_Hlk114815864"/>
      <w:bookmarkStart w:id="1" w:name="_Hlk117595076"/>
    </w:p>
    <w:bookmarkEnd w:id="0"/>
    <w:bookmarkEnd w:id="1"/>
    <w:p w14:paraId="62F2B4EE" w14:textId="470F429F" w:rsidR="00E32AAD" w:rsidRPr="006B0985" w:rsidRDefault="00E32AAD" w:rsidP="00E32AAD"/>
    <w:p w14:paraId="354621F5" w14:textId="77777777" w:rsidR="00037973" w:rsidRPr="00B53FBF" w:rsidRDefault="00037973" w:rsidP="00037973">
      <w:pPr>
        <w:jc w:val="both"/>
        <w:rPr>
          <w:sz w:val="22"/>
          <w:szCs w:val="22"/>
        </w:rPr>
      </w:pPr>
      <w:r w:rsidRPr="00B53FBF">
        <w:rPr>
          <w:sz w:val="22"/>
          <w:szCs w:val="22"/>
        </w:rPr>
        <w:t xml:space="preserve">                  </w:t>
      </w:r>
    </w:p>
    <w:p w14:paraId="5E919556" w14:textId="7D570EA7" w:rsidR="00037973" w:rsidRPr="00C244C2" w:rsidRDefault="00291646" w:rsidP="00291646">
      <w:pPr>
        <w:ind w:firstLine="720"/>
        <w:rPr>
          <w:lang w:val="pl-PL"/>
        </w:rPr>
      </w:pPr>
      <w:bookmarkStart w:id="2" w:name="_Hlk87865075"/>
      <w:r w:rsidRPr="00291646">
        <w:rPr>
          <w:sz w:val="22"/>
          <w:szCs w:val="22"/>
        </w:rPr>
        <w:t>Na temelju članka 14. Pravilnika o postupku zapošljavanja te procjeni i vrednovanju kandidata za zapošljavanje Gimnazije Dinka Šimunovića u Sinju; za zasnivanje radnog odnosa na radnom mjestu</w:t>
      </w:r>
      <w:r>
        <w:rPr>
          <w:sz w:val="22"/>
          <w:szCs w:val="22"/>
        </w:rPr>
        <w:t xml:space="preserve"> </w:t>
      </w:r>
      <w:r w:rsidR="00C244C2" w:rsidRPr="00A41828">
        <w:rPr>
          <w:rFonts w:eastAsia="Calibri"/>
          <w:b/>
          <w:lang w:val="pl-PL"/>
        </w:rPr>
        <w:t xml:space="preserve">STRUČNI SURADNIK PSIHOLOG - 1 izvršitelj/ica, na neodređeno </w:t>
      </w:r>
      <w:r>
        <w:rPr>
          <w:rFonts w:eastAsia="Calibri"/>
          <w:b/>
          <w:lang w:val="pl-PL"/>
        </w:rPr>
        <w:t>ne</w:t>
      </w:r>
      <w:r w:rsidR="00C244C2" w:rsidRPr="00A41828">
        <w:rPr>
          <w:rFonts w:eastAsia="Calibri"/>
          <w:b/>
          <w:lang w:val="pl-PL"/>
        </w:rPr>
        <w:t xml:space="preserve">puno radno vrijeme, </w:t>
      </w:r>
      <w:r>
        <w:rPr>
          <w:rFonts w:eastAsia="Calibri"/>
          <w:b/>
          <w:lang w:val="pl-PL"/>
        </w:rPr>
        <w:t>2</w:t>
      </w:r>
      <w:r w:rsidR="00C244C2" w:rsidRPr="00A41828">
        <w:rPr>
          <w:rFonts w:eastAsia="Calibri"/>
          <w:b/>
          <w:lang w:val="pl-PL"/>
        </w:rPr>
        <w:t>0 sati tjedno</w:t>
      </w:r>
      <w:bookmarkEnd w:id="2"/>
      <w:r w:rsidR="00C244C2" w:rsidRPr="00A41828">
        <w:rPr>
          <w:rFonts w:eastAsia="Calibri"/>
          <w:b/>
          <w:lang w:val="pl-PL"/>
        </w:rPr>
        <w:t xml:space="preserve">, </w:t>
      </w:r>
      <w:r w:rsidR="00037973" w:rsidRPr="00B53FBF">
        <w:rPr>
          <w:sz w:val="22"/>
          <w:szCs w:val="22"/>
        </w:rPr>
        <w:t>Povjerenstvo za procjenu i vrednovanje kandidata objavljuje</w:t>
      </w:r>
    </w:p>
    <w:p w14:paraId="121ADC36" w14:textId="77777777" w:rsidR="00037973" w:rsidRPr="00B53FBF" w:rsidRDefault="00037973" w:rsidP="00037973">
      <w:pPr>
        <w:rPr>
          <w:sz w:val="22"/>
          <w:szCs w:val="22"/>
        </w:rPr>
      </w:pPr>
    </w:p>
    <w:p w14:paraId="2B7EC089" w14:textId="77777777" w:rsidR="00037973" w:rsidRPr="00B53FBF" w:rsidRDefault="00037973" w:rsidP="00037973">
      <w:pPr>
        <w:jc w:val="both"/>
        <w:rPr>
          <w:sz w:val="22"/>
          <w:szCs w:val="22"/>
        </w:rPr>
      </w:pPr>
    </w:p>
    <w:p w14:paraId="2585A9EB" w14:textId="77777777" w:rsidR="00291646" w:rsidRPr="00291646" w:rsidRDefault="00037973" w:rsidP="00291646">
      <w:pPr>
        <w:jc w:val="both"/>
        <w:rPr>
          <w:b/>
          <w:sz w:val="22"/>
          <w:szCs w:val="22"/>
        </w:rPr>
      </w:pPr>
      <w:r w:rsidRPr="00B53FBF">
        <w:rPr>
          <w:b/>
          <w:sz w:val="22"/>
          <w:szCs w:val="22"/>
        </w:rPr>
        <w:t xml:space="preserve">                       </w:t>
      </w:r>
      <w:bookmarkStart w:id="3" w:name="_Hlk120277383"/>
      <w:r w:rsidR="00291646" w:rsidRPr="00291646">
        <w:rPr>
          <w:b/>
          <w:sz w:val="22"/>
          <w:szCs w:val="22"/>
        </w:rPr>
        <w:t>SADRŽAJ I NAČIN TESTIRANJA, PRAVNE I DRUGE IZVORE</w:t>
      </w:r>
    </w:p>
    <w:p w14:paraId="13D46787" w14:textId="77777777" w:rsidR="00291646" w:rsidRDefault="00291646" w:rsidP="00291646">
      <w:pPr>
        <w:jc w:val="center"/>
        <w:rPr>
          <w:b/>
          <w:sz w:val="22"/>
          <w:szCs w:val="22"/>
        </w:rPr>
      </w:pPr>
      <w:r w:rsidRPr="00291646">
        <w:rPr>
          <w:b/>
          <w:sz w:val="22"/>
          <w:szCs w:val="22"/>
        </w:rPr>
        <w:t>ZA PRIPREMANJE KANDIDATA ZA TESTIRANJE</w:t>
      </w:r>
    </w:p>
    <w:p w14:paraId="15CE5563" w14:textId="77777777" w:rsidR="00291646" w:rsidRPr="00291646" w:rsidRDefault="00291646" w:rsidP="00291646">
      <w:pPr>
        <w:jc w:val="center"/>
        <w:rPr>
          <w:b/>
          <w:sz w:val="22"/>
          <w:szCs w:val="22"/>
        </w:rPr>
      </w:pPr>
    </w:p>
    <w:p w14:paraId="569460A3" w14:textId="77777777" w:rsidR="00291646" w:rsidRDefault="00291646" w:rsidP="00291646">
      <w:pPr>
        <w:jc w:val="both"/>
        <w:rPr>
          <w:b/>
          <w:sz w:val="22"/>
          <w:szCs w:val="22"/>
        </w:rPr>
      </w:pPr>
      <w:r w:rsidRPr="00291646">
        <w:rPr>
          <w:b/>
          <w:sz w:val="22"/>
          <w:szCs w:val="22"/>
        </w:rPr>
        <w:t>PRAVILA TESTIRANJA:</w:t>
      </w:r>
    </w:p>
    <w:p w14:paraId="693642B8" w14:textId="77777777" w:rsidR="00291646" w:rsidRPr="00291646" w:rsidRDefault="00291646" w:rsidP="00291646">
      <w:pPr>
        <w:jc w:val="both"/>
        <w:rPr>
          <w:b/>
          <w:sz w:val="22"/>
          <w:szCs w:val="22"/>
        </w:rPr>
      </w:pPr>
    </w:p>
    <w:p w14:paraId="154C28B5" w14:textId="77777777" w:rsidR="00291646" w:rsidRPr="00291646" w:rsidRDefault="00291646" w:rsidP="00291646">
      <w:pPr>
        <w:ind w:firstLine="720"/>
        <w:jc w:val="both"/>
        <w:rPr>
          <w:bCs/>
          <w:sz w:val="22"/>
          <w:szCs w:val="22"/>
        </w:rPr>
      </w:pPr>
      <w:r w:rsidRPr="00291646">
        <w:rPr>
          <w:bCs/>
          <w:sz w:val="22"/>
          <w:szCs w:val="22"/>
        </w:rPr>
        <w:t>Sukladno odredbama Pravilnika o postupku zapošljavanja te procjeni i vrednovanju kandidata za zapošljavanje u Gimnaziji Dinka Šimunovića u Sinju obavit će se procjena odnosno testiranje kandidata.</w:t>
      </w:r>
    </w:p>
    <w:p w14:paraId="25C252EA" w14:textId="77777777" w:rsidR="00291646" w:rsidRPr="00291646" w:rsidRDefault="00291646" w:rsidP="00291646">
      <w:pPr>
        <w:jc w:val="both"/>
        <w:rPr>
          <w:bCs/>
          <w:sz w:val="22"/>
          <w:szCs w:val="22"/>
        </w:rPr>
      </w:pPr>
      <w:r w:rsidRPr="00291646">
        <w:rPr>
          <w:bCs/>
          <w:sz w:val="22"/>
          <w:szCs w:val="22"/>
        </w:rPr>
        <w:t>Povjerenstvo će provesti pismenu ili usmenu procjenu odnosno testiranje.</w:t>
      </w:r>
    </w:p>
    <w:p w14:paraId="2AF3A676" w14:textId="77777777" w:rsidR="00291646" w:rsidRPr="00291646" w:rsidRDefault="00291646" w:rsidP="00291646">
      <w:pPr>
        <w:ind w:firstLine="720"/>
        <w:jc w:val="both"/>
        <w:rPr>
          <w:bCs/>
          <w:sz w:val="22"/>
          <w:szCs w:val="22"/>
        </w:rPr>
      </w:pPr>
      <w:r w:rsidRPr="00291646">
        <w:rPr>
          <w:bCs/>
          <w:sz w:val="22"/>
          <w:szCs w:val="22"/>
        </w:rPr>
        <w:t>Kandidati su obvezni pristupiti testiranju.</w:t>
      </w:r>
    </w:p>
    <w:p w14:paraId="6045D355" w14:textId="77777777" w:rsidR="00291646" w:rsidRPr="00291646" w:rsidRDefault="00291646" w:rsidP="00291646">
      <w:pPr>
        <w:ind w:firstLine="720"/>
        <w:jc w:val="both"/>
        <w:rPr>
          <w:bCs/>
          <w:sz w:val="22"/>
          <w:szCs w:val="22"/>
        </w:rPr>
      </w:pPr>
      <w:r w:rsidRPr="00291646">
        <w:rPr>
          <w:bCs/>
          <w:sz w:val="22"/>
          <w:szCs w:val="22"/>
        </w:rPr>
        <w:t>Ako kandidat ne pristupi procjeni, odnosno testiranju, smatra se da je odustao od prijave na natječaj.</w:t>
      </w:r>
    </w:p>
    <w:p w14:paraId="66E097CE" w14:textId="512CABF3" w:rsidR="00291646" w:rsidRPr="00291646" w:rsidRDefault="00291646" w:rsidP="00291646">
      <w:pPr>
        <w:jc w:val="both"/>
        <w:rPr>
          <w:bCs/>
          <w:sz w:val="22"/>
          <w:szCs w:val="22"/>
        </w:rPr>
      </w:pPr>
      <w:r w:rsidRPr="00291646">
        <w:rPr>
          <w:bCs/>
          <w:sz w:val="22"/>
          <w:szCs w:val="22"/>
        </w:rPr>
        <w:t>Testiranje kandidata obaviti će se pismenom ili usmenom procjenom iz područja poznavanja propisa koji se odnose na djelatnost obrazovanja na način da će svaki član Povjerenstva postaviti do tri pitanja iz područja procjene koja se vrednuju od strane svakog člana Povjerenstva pojedinačno od 0 do 5 bodova i na kraju zbrajaju. Nakon utvrđivanja rezultata testiranja Povjerenstvo utvrđuje rang listu kandidata. Ako niti jedan kandidat ne ostvari više od 50% ukupnog broja bodova na testiranju, ravnatelj može donijeti odluku o ne zasnivanju radnog odnosa. Na temelju utvrđene rang liste kandidata ravnatelj odlučuje o kandidatu za kojeg će tražiti prethodnu suglasnost Školskog odbora za zasnivanje radnog odnosa. Prije odluke ravnatelj može pozvati kandidata ili kandidate na razgovor.</w:t>
      </w:r>
    </w:p>
    <w:p w14:paraId="6F69C7FF" w14:textId="53D824E8" w:rsidR="00A12D06" w:rsidRPr="00E00CD2" w:rsidRDefault="00A12D06" w:rsidP="00291646">
      <w:pPr>
        <w:ind w:firstLine="720"/>
        <w:jc w:val="both"/>
        <w:rPr>
          <w:sz w:val="22"/>
          <w:szCs w:val="22"/>
        </w:rPr>
      </w:pPr>
      <w:r w:rsidRPr="00E00CD2">
        <w:rPr>
          <w:sz w:val="22"/>
          <w:szCs w:val="22"/>
        </w:rPr>
        <w:t xml:space="preserve">Kandidati su dužni ponijeti sa sobom </w:t>
      </w:r>
      <w:r w:rsidRPr="00E00CD2">
        <w:rPr>
          <w:b/>
          <w:color w:val="000000"/>
          <w:sz w:val="22"/>
          <w:szCs w:val="22"/>
        </w:rPr>
        <w:t>odgovarajuću identifikacijsku ispravu</w:t>
      </w:r>
      <w:r w:rsidRPr="00E00CD2">
        <w:rPr>
          <w:color w:val="000000"/>
          <w:sz w:val="22"/>
          <w:szCs w:val="22"/>
        </w:rPr>
        <w:t xml:space="preserve"> </w:t>
      </w:r>
      <w:r w:rsidRPr="00E00CD2">
        <w:rPr>
          <w:sz w:val="22"/>
          <w:szCs w:val="22"/>
        </w:rPr>
        <w:t>(važeću osobnu iskaznicu, putovnicu ili vozačku dozvolu) na temelju koje se utvrđuje prije testiranja identitet kandidata/kinje.</w:t>
      </w:r>
    </w:p>
    <w:p w14:paraId="7BB61B36" w14:textId="39CD7B9E" w:rsidR="00A12D06" w:rsidRPr="00291646" w:rsidRDefault="00A12D06" w:rsidP="00291646">
      <w:pPr>
        <w:ind w:firstLine="720"/>
        <w:jc w:val="both"/>
        <w:rPr>
          <w:sz w:val="22"/>
          <w:szCs w:val="22"/>
        </w:rPr>
      </w:pPr>
      <w:r w:rsidRPr="00E00CD2">
        <w:rPr>
          <w:sz w:val="22"/>
          <w:szCs w:val="22"/>
        </w:rPr>
        <w:t>Testiranju ne mogu pristupiti kandidati koji ne mogu dokazati identitet i osobe za koje je Povjerenstvo utvrdilo da ne ispunjavaju propisane uvjete za radno mjesto, odnosno da osoba nije podnijela pravodobnu ili potpunu prijavu na natječaj.</w:t>
      </w:r>
    </w:p>
    <w:p w14:paraId="3F97C7AD" w14:textId="77777777" w:rsidR="00291646" w:rsidRDefault="00291646" w:rsidP="00A12D06">
      <w:pPr>
        <w:spacing w:after="160" w:line="259" w:lineRule="auto"/>
        <w:jc w:val="both"/>
        <w:rPr>
          <w:rFonts w:eastAsia="Calibri"/>
          <w:sz w:val="22"/>
          <w:szCs w:val="22"/>
          <w:lang w:eastAsia="en-US"/>
        </w:rPr>
      </w:pPr>
    </w:p>
    <w:p w14:paraId="18294D98" w14:textId="1B0C3D49" w:rsidR="00A12D06" w:rsidRPr="00E00CD2" w:rsidRDefault="00A12D06" w:rsidP="00A12D06">
      <w:pPr>
        <w:spacing w:after="160" w:line="259" w:lineRule="auto"/>
        <w:jc w:val="both"/>
        <w:rPr>
          <w:rFonts w:eastAsia="Calibri"/>
          <w:b/>
          <w:sz w:val="22"/>
          <w:szCs w:val="22"/>
          <w:lang w:eastAsia="en-US"/>
        </w:rPr>
      </w:pPr>
      <w:r w:rsidRPr="00E00CD2">
        <w:rPr>
          <w:rFonts w:eastAsia="Calibri"/>
          <w:sz w:val="22"/>
          <w:szCs w:val="22"/>
          <w:lang w:eastAsia="en-US"/>
        </w:rPr>
        <w:t>P</w:t>
      </w:r>
      <w:r w:rsidRPr="00E00CD2">
        <w:rPr>
          <w:rFonts w:eastAsia="Calibri"/>
          <w:b/>
          <w:sz w:val="22"/>
          <w:szCs w:val="22"/>
          <w:lang w:eastAsia="en-US"/>
        </w:rPr>
        <w:t>ravni i drugi izvori za pripremanje kandidata za testiranje su:</w:t>
      </w:r>
    </w:p>
    <w:p w14:paraId="039279FE" w14:textId="2E1665DA" w:rsidR="00A12D06" w:rsidRPr="00E00CD2" w:rsidRDefault="00A12D06" w:rsidP="00A12D06">
      <w:pPr>
        <w:spacing w:after="160" w:line="259" w:lineRule="auto"/>
        <w:ind w:left="240"/>
        <w:jc w:val="both"/>
        <w:rPr>
          <w:rFonts w:eastAsia="Calibri"/>
          <w:sz w:val="22"/>
          <w:szCs w:val="22"/>
          <w:lang w:eastAsia="en-US"/>
        </w:rPr>
      </w:pPr>
      <w:r w:rsidRPr="00E00CD2">
        <w:rPr>
          <w:rFonts w:eastAsia="Calibri"/>
          <w:sz w:val="22"/>
          <w:szCs w:val="22"/>
          <w:lang w:eastAsia="en-US"/>
        </w:rPr>
        <w:t>1.</w:t>
      </w:r>
      <w:r w:rsidR="00291646">
        <w:rPr>
          <w:rFonts w:eastAsia="Calibri"/>
          <w:sz w:val="22"/>
          <w:szCs w:val="22"/>
          <w:lang w:eastAsia="en-US"/>
        </w:rPr>
        <w:t xml:space="preserve"> </w:t>
      </w:r>
      <w:r w:rsidRPr="00E00CD2">
        <w:rPr>
          <w:rFonts w:eastAsia="Calibri"/>
          <w:sz w:val="22"/>
          <w:szCs w:val="22"/>
          <w:lang w:eastAsia="en-US"/>
        </w:rPr>
        <w:t xml:space="preserve"> Zakon o odgoju i obrazovanju u osnovnoj i srednjoj školi (Narodne novine, broj 87/08., 86/09, 92/10., 105/10., 90/11., 5/12., 16/12. , 86/12., 126/12., 94/13, 152/14. ,7/17., 68/18., 98/19. i 64/20.) </w:t>
      </w:r>
    </w:p>
    <w:p w14:paraId="255EBA79" w14:textId="77777777" w:rsidR="00A12D06" w:rsidRPr="00E00CD2" w:rsidRDefault="00A12D06" w:rsidP="00A12D06">
      <w:pPr>
        <w:spacing w:after="160" w:line="259" w:lineRule="auto"/>
        <w:ind w:left="240"/>
        <w:jc w:val="both"/>
        <w:rPr>
          <w:rFonts w:eastAsia="Calibri"/>
          <w:sz w:val="22"/>
          <w:szCs w:val="22"/>
          <w:lang w:eastAsia="en-US"/>
        </w:rPr>
      </w:pPr>
      <w:r w:rsidRPr="00E00CD2">
        <w:rPr>
          <w:rFonts w:eastAsia="Calibri"/>
          <w:sz w:val="22"/>
          <w:szCs w:val="22"/>
          <w:lang w:eastAsia="en-US"/>
        </w:rPr>
        <w:t>2. Pravilnik o načinima, postupcima i elementima vrednovanja učenika u osnovnoj i srednjoj školi (Narodne novine, broj 112/10., 82/19., 43/20. i 100/21.)</w:t>
      </w:r>
    </w:p>
    <w:p w14:paraId="3E248C73" w14:textId="77777777" w:rsidR="00A12D06" w:rsidRDefault="00A12D06" w:rsidP="00A12D06">
      <w:pPr>
        <w:ind w:left="240"/>
        <w:jc w:val="both"/>
        <w:rPr>
          <w:rFonts w:eastAsia="Calibri"/>
          <w:sz w:val="22"/>
          <w:szCs w:val="22"/>
          <w:lang w:eastAsia="en-US"/>
        </w:rPr>
      </w:pPr>
    </w:p>
    <w:p w14:paraId="1B2CDF1D" w14:textId="77777777" w:rsidR="00A12D06" w:rsidRDefault="00A12D06" w:rsidP="00A12D06">
      <w:pPr>
        <w:ind w:left="240"/>
        <w:jc w:val="both"/>
        <w:rPr>
          <w:sz w:val="22"/>
          <w:szCs w:val="22"/>
        </w:rPr>
      </w:pPr>
      <w:r w:rsidRPr="00E00CD2">
        <w:rPr>
          <w:rFonts w:eastAsia="Calibri"/>
          <w:sz w:val="22"/>
          <w:szCs w:val="22"/>
          <w:lang w:eastAsia="en-US"/>
        </w:rPr>
        <w:t xml:space="preserve">3.  </w:t>
      </w:r>
      <w:r w:rsidRPr="00E00CD2">
        <w:rPr>
          <w:sz w:val="22"/>
          <w:szCs w:val="22"/>
        </w:rPr>
        <w:t>Pravilnik o kriterijima za izricanje pedagoških mjera (Narodne novine, broj 94/15., 3/17.)</w:t>
      </w:r>
    </w:p>
    <w:p w14:paraId="23780C04" w14:textId="77777777" w:rsidR="00A12D06" w:rsidRDefault="00A12D06" w:rsidP="00A12D06">
      <w:pPr>
        <w:ind w:left="240"/>
        <w:jc w:val="both"/>
        <w:rPr>
          <w:sz w:val="22"/>
          <w:szCs w:val="22"/>
        </w:rPr>
      </w:pPr>
    </w:p>
    <w:p w14:paraId="4F71BCEF" w14:textId="77777777" w:rsidR="00A12D06" w:rsidRPr="00FB01F5" w:rsidRDefault="00A12D06" w:rsidP="00A12D06">
      <w:pPr>
        <w:pStyle w:val="Naslov1"/>
        <w:shd w:val="clear" w:color="auto" w:fill="BA1E1F"/>
        <w:spacing w:before="0" w:after="150" w:line="0" w:lineRule="auto"/>
        <w:rPr>
          <w:rFonts w:ascii="Arial" w:eastAsia="Times New Roman" w:hAnsi="Arial" w:cs="Arial"/>
          <w:b w:val="0"/>
          <w:bCs w:val="0"/>
          <w:color w:val="FFFFFF"/>
          <w:kern w:val="36"/>
          <w:sz w:val="54"/>
          <w:szCs w:val="54"/>
        </w:rPr>
      </w:pPr>
      <w:r>
        <w:rPr>
          <w:sz w:val="22"/>
          <w:szCs w:val="22"/>
        </w:rPr>
        <w:t xml:space="preserve">4.  </w:t>
      </w:r>
      <w:hyperlink r:id="rId4" w:history="1">
        <w:r w:rsidRPr="00FB01F5">
          <w:rPr>
            <w:rFonts w:ascii="Arial" w:eastAsia="Times New Roman" w:hAnsi="Arial" w:cs="Arial"/>
            <w:color w:val="FFFFFF"/>
            <w:kern w:val="36"/>
            <w:sz w:val="29"/>
            <w:szCs w:val="29"/>
            <w:u w:val="single"/>
          </w:rPr>
          <w:t>Pravilnik o načinu postupanja odgojno-obrazovnih radnika školskih ustanova u poduzimanju mjera zaštite prava učenika te prijave svakog kršenja tih prava nadležnim tijelima</w:t>
        </w:r>
      </w:hyperlink>
    </w:p>
    <w:p w14:paraId="596A019A" w14:textId="77777777" w:rsidR="00A12D06" w:rsidRDefault="00A12D06" w:rsidP="00A12D06">
      <w:pPr>
        <w:jc w:val="both"/>
        <w:rPr>
          <w:sz w:val="22"/>
          <w:szCs w:val="22"/>
        </w:rPr>
      </w:pPr>
      <w:r>
        <w:rPr>
          <w:sz w:val="22"/>
          <w:szCs w:val="22"/>
        </w:rPr>
        <w:t xml:space="preserve">    4. </w:t>
      </w:r>
      <w:r w:rsidRPr="00FB01F5">
        <w:rPr>
          <w:sz w:val="22"/>
          <w:szCs w:val="22"/>
        </w:rPr>
        <w:t xml:space="preserve">Pravilnik o načinu postupanja odgojno-obrazovnih radnika školskih ustanova u poduzimanju </w:t>
      </w:r>
    </w:p>
    <w:p w14:paraId="52CC568C" w14:textId="77777777" w:rsidR="00A12D06" w:rsidRDefault="00A12D06" w:rsidP="00A12D06">
      <w:pPr>
        <w:ind w:left="240"/>
        <w:jc w:val="both"/>
        <w:rPr>
          <w:sz w:val="22"/>
          <w:szCs w:val="22"/>
        </w:rPr>
      </w:pPr>
      <w:r>
        <w:rPr>
          <w:sz w:val="22"/>
          <w:szCs w:val="22"/>
        </w:rPr>
        <w:t xml:space="preserve">   </w:t>
      </w:r>
      <w:r w:rsidRPr="00FB01F5">
        <w:rPr>
          <w:sz w:val="22"/>
          <w:szCs w:val="22"/>
        </w:rPr>
        <w:t>mjera zaštite prava učenika te prijave svakog kršenja tih prava nadležnim tijelima</w:t>
      </w:r>
      <w:r>
        <w:rPr>
          <w:sz w:val="22"/>
          <w:szCs w:val="22"/>
        </w:rPr>
        <w:t xml:space="preserve"> </w:t>
      </w:r>
      <w:r w:rsidRPr="00E00CD2">
        <w:rPr>
          <w:sz w:val="22"/>
          <w:szCs w:val="22"/>
        </w:rPr>
        <w:t xml:space="preserve">(Narodne </w:t>
      </w:r>
      <w:r>
        <w:rPr>
          <w:sz w:val="22"/>
          <w:szCs w:val="22"/>
        </w:rPr>
        <w:t xml:space="preserve">   </w:t>
      </w:r>
    </w:p>
    <w:p w14:paraId="04211E64" w14:textId="77777777" w:rsidR="00A12D06" w:rsidRDefault="00A12D06" w:rsidP="00A12D06">
      <w:pPr>
        <w:ind w:left="240"/>
        <w:jc w:val="both"/>
        <w:rPr>
          <w:sz w:val="22"/>
          <w:szCs w:val="22"/>
        </w:rPr>
      </w:pPr>
      <w:r>
        <w:rPr>
          <w:sz w:val="22"/>
          <w:szCs w:val="22"/>
        </w:rPr>
        <w:t xml:space="preserve">   </w:t>
      </w:r>
      <w:r w:rsidRPr="00E00CD2">
        <w:rPr>
          <w:sz w:val="22"/>
          <w:szCs w:val="22"/>
        </w:rPr>
        <w:t xml:space="preserve">novine, broj </w:t>
      </w:r>
      <w:r>
        <w:rPr>
          <w:sz w:val="22"/>
          <w:szCs w:val="22"/>
        </w:rPr>
        <w:t>132/13.</w:t>
      </w:r>
      <w:r w:rsidRPr="00E00CD2">
        <w:rPr>
          <w:sz w:val="22"/>
          <w:szCs w:val="22"/>
        </w:rPr>
        <w:t>)</w:t>
      </w:r>
    </w:p>
    <w:p w14:paraId="05979A87" w14:textId="77777777" w:rsidR="00A12D06" w:rsidRDefault="00A12D06" w:rsidP="00A12D06">
      <w:pPr>
        <w:ind w:left="240"/>
        <w:jc w:val="both"/>
        <w:rPr>
          <w:sz w:val="22"/>
          <w:szCs w:val="22"/>
        </w:rPr>
      </w:pPr>
    </w:p>
    <w:p w14:paraId="240FE95D" w14:textId="77777777" w:rsidR="00A12D06" w:rsidRDefault="00A12D06" w:rsidP="00A12D06">
      <w:pPr>
        <w:ind w:left="240"/>
        <w:jc w:val="both"/>
      </w:pPr>
      <w:r>
        <w:rPr>
          <w:sz w:val="22"/>
          <w:szCs w:val="22"/>
        </w:rPr>
        <w:t xml:space="preserve">5. </w:t>
      </w:r>
      <w:r>
        <w:t>Protokol o postupanju u slučaju nasilja među djecom i mladima, dostupan na poveznici:</w:t>
      </w:r>
    </w:p>
    <w:p w14:paraId="117850BB" w14:textId="77777777" w:rsidR="00A12D06" w:rsidRDefault="00A12D06" w:rsidP="00A12D06">
      <w:pPr>
        <w:jc w:val="both"/>
        <w:rPr>
          <w:sz w:val="22"/>
          <w:szCs w:val="22"/>
        </w:rPr>
      </w:pPr>
      <w:hyperlink r:id="rId5" w:history="1">
        <w:r w:rsidRPr="0067432D">
          <w:rPr>
            <w:rStyle w:val="Hiperveza"/>
            <w:sz w:val="22"/>
            <w:szCs w:val="22"/>
          </w:rPr>
          <w:t>https://mzo.gov.hr/UserDocsImages/dokumenti/Dokumenti-ZakonskiPodzakonski-Akti/Predskolski/Protokol%20o%20postupanju%20u%20slu%C4%8Daju%20nasilja%20me%C4%91u%20djecom%20i%20mladima%20-%20Ministarstvo%20za%20demografiju,%20obitelj,%20mlade%20i%20socijalnu%20politiku.pdf</w:t>
        </w:r>
      </w:hyperlink>
    </w:p>
    <w:p w14:paraId="4FBDD566" w14:textId="77777777" w:rsidR="00A12D06" w:rsidRDefault="00A12D06" w:rsidP="00A12D06">
      <w:pPr>
        <w:ind w:left="240"/>
        <w:jc w:val="both"/>
        <w:rPr>
          <w:sz w:val="22"/>
          <w:szCs w:val="22"/>
        </w:rPr>
      </w:pPr>
    </w:p>
    <w:p w14:paraId="40B07E20" w14:textId="77777777" w:rsidR="00A12D06" w:rsidRDefault="00A12D06" w:rsidP="00A12D06">
      <w:pPr>
        <w:jc w:val="both"/>
        <w:rPr>
          <w:sz w:val="22"/>
          <w:szCs w:val="22"/>
        </w:rPr>
      </w:pPr>
      <w:r>
        <w:rPr>
          <w:sz w:val="22"/>
          <w:szCs w:val="22"/>
        </w:rPr>
        <w:t xml:space="preserve"> 6. </w:t>
      </w:r>
      <w:r w:rsidRPr="0073740F">
        <w:rPr>
          <w:sz w:val="22"/>
          <w:szCs w:val="22"/>
        </w:rPr>
        <w:t xml:space="preserve">Akcijski plan za prevenciju nasilja u školama </w:t>
      </w:r>
      <w:r w:rsidRPr="0073740F">
        <w:rPr>
          <w:color w:val="191919"/>
          <w:sz w:val="22"/>
          <w:szCs w:val="22"/>
        </w:rPr>
        <w:t>za razdoblje od 2020. do 2024. godine</w:t>
      </w:r>
      <w:r w:rsidRPr="0073740F">
        <w:rPr>
          <w:sz w:val="22"/>
          <w:szCs w:val="22"/>
        </w:rPr>
        <w:t>, dostupan na poveznici:</w:t>
      </w:r>
    </w:p>
    <w:p w14:paraId="4DE363D2" w14:textId="77777777" w:rsidR="00A12D06" w:rsidRDefault="00A12D06" w:rsidP="00A12D06">
      <w:pPr>
        <w:jc w:val="both"/>
        <w:rPr>
          <w:sz w:val="22"/>
          <w:szCs w:val="22"/>
        </w:rPr>
      </w:pPr>
      <w:hyperlink r:id="rId6" w:history="1">
        <w:r w:rsidRPr="0067432D">
          <w:rPr>
            <w:rStyle w:val="Hiperveza"/>
            <w:sz w:val="22"/>
            <w:szCs w:val="22"/>
          </w:rPr>
          <w:t>https://mzo.gov.hr/UserDocsImages/dokumenti/StrucnaTijela/Akcijski%20plan%20za%20prevenciju%20nasilja%20u%20skolama%20za%20razdoblje%20od%202020.%20do%202024.%20godine.pdf</w:t>
        </w:r>
      </w:hyperlink>
    </w:p>
    <w:p w14:paraId="27795318" w14:textId="77777777" w:rsidR="00A12D06" w:rsidRPr="0073740F" w:rsidRDefault="00A12D06" w:rsidP="00A12D06">
      <w:pPr>
        <w:jc w:val="both"/>
        <w:rPr>
          <w:sz w:val="22"/>
          <w:szCs w:val="22"/>
        </w:rPr>
      </w:pPr>
    </w:p>
    <w:p w14:paraId="5E40583E" w14:textId="3958EF14" w:rsidR="00A12D06" w:rsidRPr="00E00CD2" w:rsidRDefault="00A12D06" w:rsidP="00EE6ECC">
      <w:pPr>
        <w:ind w:firstLine="720"/>
        <w:rPr>
          <w:rStyle w:val="Hiperveza"/>
          <w:sz w:val="22"/>
          <w:szCs w:val="22"/>
        </w:rPr>
      </w:pPr>
      <w:r w:rsidRPr="00E00CD2">
        <w:rPr>
          <w:sz w:val="22"/>
          <w:szCs w:val="22"/>
        </w:rPr>
        <w:t xml:space="preserve">Sadržaj i način testiranja kandidata </w:t>
      </w:r>
      <w:r w:rsidRPr="00CE3ADA">
        <w:rPr>
          <w:sz w:val="22"/>
          <w:szCs w:val="22"/>
        </w:rPr>
        <w:t xml:space="preserve">objavit će se dana </w:t>
      </w:r>
      <w:r w:rsidR="0044356E">
        <w:rPr>
          <w:sz w:val="22"/>
          <w:szCs w:val="22"/>
        </w:rPr>
        <w:t>06.12</w:t>
      </w:r>
      <w:r w:rsidRPr="00CE3ADA">
        <w:rPr>
          <w:sz w:val="22"/>
          <w:szCs w:val="22"/>
        </w:rPr>
        <w:t>.202</w:t>
      </w:r>
      <w:r w:rsidR="00EE6ECC">
        <w:rPr>
          <w:sz w:val="22"/>
          <w:szCs w:val="22"/>
        </w:rPr>
        <w:t>4</w:t>
      </w:r>
      <w:r w:rsidRPr="00CE3ADA">
        <w:rPr>
          <w:sz w:val="22"/>
          <w:szCs w:val="22"/>
        </w:rPr>
        <w:t>. na mrežnoj</w:t>
      </w:r>
      <w:r w:rsidRPr="00E00CD2">
        <w:rPr>
          <w:sz w:val="22"/>
          <w:szCs w:val="22"/>
        </w:rPr>
        <w:t xml:space="preserve"> stranici </w:t>
      </w:r>
      <w:r w:rsidR="00EE6ECC">
        <w:rPr>
          <w:sz w:val="22"/>
          <w:szCs w:val="22"/>
        </w:rPr>
        <w:t>Gimnazije Dinka Šimunovića u Sinju.</w:t>
      </w:r>
    </w:p>
    <w:bookmarkEnd w:id="3"/>
    <w:p w14:paraId="161B2357" w14:textId="77777777" w:rsidR="00037973" w:rsidRDefault="00037973" w:rsidP="00E32AAD">
      <w:pPr>
        <w:rPr>
          <w:rStyle w:val="Hiperveza"/>
        </w:rPr>
      </w:pPr>
    </w:p>
    <w:p w14:paraId="585874FC" w14:textId="77777777" w:rsidR="00037973" w:rsidRPr="00F45656" w:rsidRDefault="00037973" w:rsidP="00037973">
      <w:pPr>
        <w:ind w:left="2832" w:firstLine="708"/>
        <w:rPr>
          <w:sz w:val="22"/>
          <w:szCs w:val="22"/>
        </w:rPr>
      </w:pPr>
      <w:r w:rsidRPr="00B53FBF">
        <w:rPr>
          <w:sz w:val="22"/>
          <w:szCs w:val="22"/>
        </w:rPr>
        <w:t>POVJERENSTVO ZA VREDNOVANJE KANDIDATA</w:t>
      </w:r>
    </w:p>
    <w:p w14:paraId="548CBF83" w14:textId="77777777" w:rsidR="00037973" w:rsidRPr="00F45656" w:rsidRDefault="00037973" w:rsidP="00037973">
      <w:pPr>
        <w:jc w:val="both"/>
        <w:rPr>
          <w:b/>
          <w:sz w:val="22"/>
          <w:szCs w:val="22"/>
        </w:rPr>
      </w:pPr>
    </w:p>
    <w:p w14:paraId="78812EB0" w14:textId="77777777" w:rsidR="00F46746" w:rsidRDefault="00F46746"/>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06"/>
    <w:rsid w:val="00037973"/>
    <w:rsid w:val="001E00E6"/>
    <w:rsid w:val="00291646"/>
    <w:rsid w:val="004268FA"/>
    <w:rsid w:val="0044356E"/>
    <w:rsid w:val="006F3A90"/>
    <w:rsid w:val="00737CD6"/>
    <w:rsid w:val="007A21ED"/>
    <w:rsid w:val="00A12D06"/>
    <w:rsid w:val="00B34238"/>
    <w:rsid w:val="00C244C2"/>
    <w:rsid w:val="00E32AAD"/>
    <w:rsid w:val="00E81C06"/>
    <w:rsid w:val="00ED12ED"/>
    <w:rsid w:val="00EE6ECC"/>
    <w:rsid w:val="00F42C7A"/>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6623"/>
  <w15:chartTrackingRefBased/>
  <w15:docId w15:val="{C7943BE9-7120-4DEA-859C-16BF829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AD"/>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uiPriority w:val="9"/>
    <w:qFormat/>
    <w:rsid w:val="00B34238"/>
    <w:pPr>
      <w:keepNext/>
      <w:spacing w:before="240" w:after="60"/>
      <w:outlineLvl w:val="0"/>
    </w:pPr>
    <w:rPr>
      <w:rFonts w:asciiTheme="majorHAnsi" w:eastAsiaTheme="majorEastAsia" w:hAnsiTheme="majorHAnsi" w:cstheme="majorBidi"/>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E32AAD"/>
    <w:rPr>
      <w:color w:val="0563C1"/>
      <w:u w:val="single"/>
    </w:rPr>
  </w:style>
  <w:style w:type="paragraph" w:styleId="Bezproreda">
    <w:name w:val="No Spacing"/>
    <w:uiPriority w:val="1"/>
    <w:qFormat/>
    <w:rsid w:val="00E32AAD"/>
    <w:pPr>
      <w:spacing w:after="0" w:line="240" w:lineRule="auto"/>
    </w:pPr>
    <w:rPr>
      <w:rFonts w:ascii="Times New Roman" w:eastAsia="Times New Roman" w:hAnsi="Times New Roman" w:cs="Times New Roman"/>
      <w:sz w:val="24"/>
      <w:szCs w:val="24"/>
      <w:lang w:val="hr-HR" w:eastAsia="hr-HR"/>
    </w:rPr>
  </w:style>
  <w:style w:type="character" w:customStyle="1" w:styleId="Naslov1Char">
    <w:name w:val="Naslov 1 Char"/>
    <w:basedOn w:val="Zadanifontodlomka"/>
    <w:link w:val="Naslov1"/>
    <w:uiPriority w:val="9"/>
    <w:rsid w:val="00B34238"/>
    <w:rPr>
      <w:rFonts w:asciiTheme="majorHAnsi" w:eastAsiaTheme="majorEastAsia" w:hAnsiTheme="majorHAnsi" w:cstheme="majorBidi"/>
      <w:b/>
      <w:bCs/>
      <w:kern w:val="32"/>
      <w:sz w:val="32"/>
      <w:szCs w:val="32"/>
      <w:lang w:val="hr-HR" w:eastAsia="hr-HR"/>
    </w:rPr>
  </w:style>
  <w:style w:type="character" w:styleId="SlijeenaHiperveza">
    <w:name w:val="FollowedHyperlink"/>
    <w:basedOn w:val="Zadanifontodlomka"/>
    <w:uiPriority w:val="99"/>
    <w:semiHidden/>
    <w:unhideWhenUsed/>
    <w:rsid w:val="00B34238"/>
    <w:rPr>
      <w:color w:val="954F72" w:themeColor="followedHyperlink"/>
      <w:u w:val="single"/>
    </w:rPr>
  </w:style>
  <w:style w:type="paragraph" w:styleId="StandardWeb">
    <w:name w:val="Normal (Web)"/>
    <w:basedOn w:val="Normal"/>
    <w:uiPriority w:val="99"/>
    <w:semiHidden/>
    <w:unhideWhenUsed/>
    <w:rsid w:val="0029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01377">
      <w:bodyDiv w:val="1"/>
      <w:marLeft w:val="0"/>
      <w:marRight w:val="0"/>
      <w:marTop w:val="0"/>
      <w:marBottom w:val="0"/>
      <w:divBdr>
        <w:top w:val="none" w:sz="0" w:space="0" w:color="auto"/>
        <w:left w:val="none" w:sz="0" w:space="0" w:color="auto"/>
        <w:bottom w:val="none" w:sz="0" w:space="0" w:color="auto"/>
        <w:right w:val="none" w:sz="0" w:space="0" w:color="auto"/>
      </w:divBdr>
    </w:div>
    <w:div w:id="11894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zo.gov.hr/UserDocsImages/dokumenti/StrucnaTijela/Akcijski%20plan%20za%20prevenciju%20nasilja%20u%20skolama%20za%20razdoblje%20od%202020.%20do%202024.%20godine.pdf" TargetMode="External"/><Relationship Id="rId5" Type="http://schemas.openxmlformats.org/officeDocument/2006/relationships/hyperlink" Target="https://mzo.gov.hr/UserDocsImages/dokumenti/Dokumenti-ZakonskiPodzakonski-Akti/Predskolski/Protokol%20o%20postupanju%20u%20slu%C4%8Daju%20nasilja%20me%C4%91u%20djecom%20i%20mladima%20-%20Ministarstvo%20za%20demografiju,%20obitelj,%20mlade%20i%20socijalnu%20politiku.pdf" TargetMode="External"/><Relationship Id="rId4" Type="http://schemas.openxmlformats.org/officeDocument/2006/relationships/hyperlink" Target="https://www.iusinfo.hr/zakonodavstvo/pravilnik-o-nacinu-postupanja-odgojno-obrazovnih-radnika-skolskih-ustanova-u-poduzimanju-mjera-zastite-prava-ucenika-te-prijave-svakog-krsenja-tih-prava-nadleznim-tijelim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3899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Dumanić</dc:creator>
  <cp:keywords/>
  <dc:description/>
  <cp:lastModifiedBy>Tomislav Bilić</cp:lastModifiedBy>
  <cp:revision>3</cp:revision>
  <cp:lastPrinted>2022-11-25T13:02:00Z</cp:lastPrinted>
  <dcterms:created xsi:type="dcterms:W3CDTF">2024-12-06T08:22:00Z</dcterms:created>
  <dcterms:modified xsi:type="dcterms:W3CDTF">2024-12-06T08:23:00Z</dcterms:modified>
</cp:coreProperties>
</file>