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ea57cb10d465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18467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GIMNAZIJA DINKA ŠIMUNOVIĆA U SINJU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1.087.129,72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1.197.662,24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6- Ukupni prihodi poslovanja iznose 1.197.662,24 EUR</w:t>
      </w:r>
    </w:p>
    <w:p>
      <w:r>
        <w:t xml:space="preserve">Povećani su u odnosu na prethodnu godinu u iznosu od 110.532,52 EUR. Povećanja obrazložena niže po pozicijama.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946.866,01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1.030.077,46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6361 – 1.030.077,46 EUR</w:t>
      </w:r>
    </w:p>
    <w:p>
      <w:r>
        <w:t xml:space="preserve">Tekuće pomoći proračunskim korisnicima iz proračuna koji im nije nadležan, povećanje u odnosu na prethodnu godinu u iznosu od 83.211,45 EUR najvećim dijelom uslijed povećanja osnovice i koeficijenata čime imamo povećanje po svim elementima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81,5</w:t>
            </w:r>
          </w:p>
        </w:tc>
      </w:tr>
    </w:tbl>
    <w:p>
      <w:pPr>
        <w:spacing w:before="0" w:after="0"/>
      </w:pPr>
    </w:p>
    <w:p>
      <w:r>
        <w:t xml:space="preserve">6362 – 440,00 EUR</w:t>
      </w:r>
    </w:p>
    <w:p>
      <w:r>
        <w:t xml:space="preserve">Prihodi od ministarstva za školske knjige u iznosu od 440,00 EUR. Iznos je manji za 100,00 EUR uslijed manjeg broja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175,0</w:t>
            </w:r>
          </w:p>
        </w:tc>
      </w:tr>
    </w:tbl>
    <w:p>
      <w:pPr>
        <w:spacing w:before="0" w:after="0"/>
      </w:pPr>
    </w:p>
    <w:p>
      <w:r>
        <w:t xml:space="preserve">6412 – 0,14 EUR</w:t>
      </w:r>
    </w:p>
    <w:p>
      <w:r>
        <w:t xml:space="preserve">Prihod a vista kamata.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</w:tbl>
    <w:p>
      <w:pPr>
        <w:spacing w:before="0" w:after="0"/>
      </w:pPr>
    </w:p>
    <w:p>
      <w:r>
        <w:t xml:space="preserve">6631 – 11.287,00 EUR</w:t>
      </w:r>
    </w:p>
    <w:p>
      <w:r>
        <w:t xml:space="preserve">Tekuće donacije za maturante u svrhu maturalne zabave, uplata dnevnica za ekskurzije, donacija F Tours, USHR donacija za Erasmus + program mobilnosti.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129.723,63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153.170,34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6711 – 153.170,34 EUR</w:t>
      </w:r>
    </w:p>
    <w:p>
      <w:r>
        <w:t xml:space="preserve">Prihod od SDŽ za financiranje rashoda poslovanja. Razlika u odnosu na lani je iznos 23.446,71 EUR koji je posljedica općeg porasta cijena materijala i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6712 - Prihodi iz nadležnog proračuna za financiranje rashoda za nabavu nefinancijske imovine 2.687,30 EUR</w:t>
      </w:r>
    </w:p>
    <w:p>
      <w:r>
        <w:t xml:space="preserve">Opremanje ureda psihologice i dio prihoda koji se odnosio na rashod iz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1.071.910,14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1.268.875,75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3 – Ukupni rashodi poslovanja iznose 1.268.875,75 EUR</w:t>
      </w:r>
    </w:p>
    <w:p>
      <w:r>
        <w:t xml:space="preserve">Veći su u odnosu na prethodnu godinu u iznosu od 196.965,61 EUR.</w:t>
      </w:r>
    </w:p>
    <w:p>
      <w:r>
        <w:t xml:space="preserve">Povećanja obrazložena niže po pozicijama.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784.881,07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924.182,78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3111 – 924.182,78 EUR</w:t>
      </w:r>
    </w:p>
    <w:p>
      <w:r>
        <w:t xml:space="preserve">Bruto plaće povećanje iznosa u odnosu na prethodnu godinu 139.301,71 EUR najvećim dijelom zbog novog pravilnika o proračunskom računovodstvu koji obvezuje knjiženje plaće 12/2025 u 12/2025 što do sada nije bio slučaj.</w:t>
      </w:r>
    </w:p>
    <w:p>
      <w:r>
        <w:t xml:space="preserve">Plaća 12. mjeseca do sada je išla na potraživanje i nije predstavljala trošak tekuće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128.428,47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107.727,88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83,9</w:t>
            </w:r>
          </w:p>
        </w:tc>
      </w:tr>
    </w:tbl>
    <w:p>
      <w:pPr>
        <w:spacing w:before="0" w:after="0"/>
      </w:pPr>
    </w:p>
    <w:p>
      <w:r>
        <w:t xml:space="preserve">32 – 107.727,88 EUR</w:t>
      </w:r>
    </w:p>
    <w:p>
      <w:r>
        <w:t xml:space="preserve">Materijalni rashodi manji u odnosu na prethodnu godinu u iznosu od 20.700,59 EUR.</w:t>
      </w:r>
    </w:p>
    <w:p>
      <w:r>
        <w:t xml:space="preserve">U 2024. godini smo imali značajan iznos za sanaciju cijevovoda za grijanje te je najveća razlika u iznosu nastala zbog izvanrednih radova kojih ove godine nije bilo.</w:t>
      </w:r>
    </w:p>
    <w:p>
      <w:r>
        <w:t xml:space="preserve">Pojašnjenja razlika po pozicijama niže.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7.238,17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3221- Službena putovanja 9.318,24 EUR</w:t>
      </w:r>
    </w:p>
    <w:p>
      <w:r>
        <w:t xml:space="preserve">Razlika u odnosu na prethodnu godinu je 2.080,07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21.217,07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21.214,71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3212 – 21.214,71 EUR</w:t>
      </w:r>
    </w:p>
    <w:p>
      <w:r>
        <w:t xml:space="preserve">Naknade za prijevoz s posla na posao imaju minimalna odstupanja u odnosu na prethodnu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47,1</w:t>
            </w:r>
          </w:p>
        </w:tc>
      </w:tr>
    </w:tbl>
    <w:p>
      <w:pPr>
        <w:spacing w:before="0" w:after="0"/>
      </w:pPr>
    </w:p>
    <w:p>
      <w:r>
        <w:t xml:space="preserve">3213 – 1.172,89 EUR</w:t>
      </w:r>
    </w:p>
    <w:p>
      <w:r>
        <w:t xml:space="preserve">Stručno usavršavanje zaposlenika o odnosu na prethodnu godinu je manje u iznosu od 1.317,16 EUR. Dio rashoda prošle godine financiran je iz donacije koja se odnosila na Erasmus + program mobilnosti.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11.613,24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60,4</w:t>
            </w:r>
          </w:p>
        </w:tc>
      </w:tr>
    </w:tbl>
    <w:p>
      <w:pPr>
        <w:spacing w:before="0" w:after="0"/>
      </w:pPr>
    </w:p>
    <w:p>
      <w:r>
        <w:t xml:space="preserve">3221 – 7.011,02 EUR</w:t>
      </w:r>
    </w:p>
    <w:p>
      <w:r>
        <w:t xml:space="preserve">Uredski materijal i ostali materijalni rashodi su manji u odnosu na prethodnu godinu u iznosu od 4.602,22 EUR jer je u 12/2024 izvršena značajna nabavka uredskog materijala zbog opremanja arhive. Redovni trošak uredskog materijala je u granicama standardnog.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21.715,69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28.046,25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3223 – 28.046,25 EUR</w:t>
      </w:r>
    </w:p>
    <w:p>
      <w:r>
        <w:t xml:space="preserve">Energija uslijed ukidanja uredbe i nabavke lož ulja za grijanje veća u odnosu na prethodnu godinu u iznosu od 6.330,56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7101,7</w:t>
            </w:r>
          </w:p>
        </w:tc>
      </w:tr>
    </w:tbl>
    <w:p>
      <w:pPr>
        <w:spacing w:before="0" w:after="0"/>
      </w:pPr>
    </w:p>
    <w:p>
      <w:r>
        <w:t xml:space="preserve">3225 - Sitni inventar i autogume 2.130,50 EUR</w:t>
      </w:r>
    </w:p>
    <w:p>
      <w:r>
        <w:t xml:space="preserve">Pozicija je veća u odnosu na prethodnu godinu uslijed opremanja ureda tajništva i učionica zavjesama, te nabavke metalnih polica za novu prostoriju arhive.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33.527,54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11.630,38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</w:t>
            </w:r>
          </w:p>
        </w:tc>
      </w:tr>
    </w:tbl>
    <w:p>
      <w:pPr>
        <w:spacing w:before="0" w:after="0"/>
      </w:pPr>
    </w:p>
    <w:p>
      <w:r>
        <w:t xml:space="preserve">3232 – 11.630,38 EUR</w:t>
      </w:r>
    </w:p>
    <w:p>
      <w:r>
        <w:t xml:space="preserve">Na poziciji usluga imamo smanjenje u iznosu od 21.897,16 EUR u odnosu na prethodnu godinu.</w:t>
      </w:r>
    </w:p>
    <w:p>
      <w:r>
        <w:t xml:space="preserve">Značajna investicija odobrena od strane SDŽ u 2024. bila  je vezana za popravak cijevi za grijanje u iznosu od 19.058,50 EUR po poziciji usluga tekućeg i investicijskog održavanja, tako da je iznos koji trenutno imamo po poziciji zapravo iznos koji spada u redovni rashod tekućeg i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6.718,08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205,7</w:t>
            </w:r>
          </w:p>
        </w:tc>
      </w:tr>
    </w:tbl>
    <w:p>
      <w:pPr>
        <w:spacing w:before="0" w:after="0"/>
      </w:pPr>
    </w:p>
    <w:p>
      <w:r>
        <w:t xml:space="preserve">Povećanje u odnosu na prethodnu godinu u iznosu od 3.451,51 EUR zbog analitike koja prati evidenciju rashoda učenika za iznos maturalne zabave i ostale troškove vezane za učeničke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7.649,19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</w:t>
            </w:r>
          </w:p>
        </w:tc>
      </w:tr>
    </w:tbl>
    <w:p>
      <w:pPr>
        <w:spacing w:before="0" w:after="0"/>
      </w:pPr>
    </w:p>
    <w:p>
      <w:r>
        <w:t xml:space="preserve">Smanjenje u odnosu na prethodnu godinu u iznosu od 6.128,65 EUR zbog analitike koja prati evidenciju rashoda učenika za iznos maturalne zabave i ostale troškove vezane za učeničke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Povećanje zbog isplata naknada za udžbenike učenicima srednjih škola prema odluci SDŽ.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3721- Naknade građanima i kućanstvima u novcu 48.600,00 EUR</w:t>
      </w:r>
    </w:p>
    <w:p>
      <w:r>
        <w:t xml:space="preserve">Isplata prema odluci SDŽ koja se odnosi udžbenike za učenike srednjih škola u iznosu od 200 EUR.</w:t>
      </w:r>
    </w:p>
    <w:p>
      <w:r>
        <w:t xml:space="preserve">Isplaćene su 243 naknade na račune roditelja ili punoljetnih učenika prema izjavi roditelja ili punoljetnog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</w:tbl>
    <w:p>
      <w:pPr>
        <w:spacing w:before="0" w:after="0"/>
      </w:pPr>
    </w:p>
    <w:p>
      <w:r>
        <w:t xml:space="preserve">MZO za higijenske potrepštine učenica prema stvarnom broju učenica.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458.708,25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97,1</w:t>
            </w:r>
          </w:p>
        </w:tc>
      </w:tr>
    </w:tbl>
    <w:p>
      <w:pPr>
        <w:spacing w:before="0" w:after="0"/>
      </w:pPr>
    </w:p>
    <w:p>
      <w:r>
        <w:t xml:space="preserve">Stanje ukupne imovine u odnosu na prethodnu godinu je manje je za 13.879,73 EUR.</w:t>
      </w:r>
    </w:p>
    <w:p>
      <w:r>
        <w:t xml:space="preserve">Navedena razlika nastala je uslijed amortizacije imovine, te nabave opreme i knjiga za knjižnicu. Po pozicijama niže obrazloženja iznosa pojedinačno.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23.633,18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23.633,18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01 Neproizvedena dugotrajna imovina 23.633,18 EUR</w:t>
      </w:r>
    </w:p>
    <w:p>
      <w:r>
        <w:t xml:space="preserve">Nepromjenjena- prirodna bogatstva.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349.635,08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330.624,50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94,6</w:t>
            </w:r>
          </w:p>
        </w:tc>
      </w:tr>
    </w:tbl>
    <w:p>
      <w:pPr>
        <w:spacing w:before="0" w:after="0"/>
      </w:pPr>
    </w:p>
    <w:p>
      <w:r>
        <w:t xml:space="preserve">02 Proizvedena dugotrajna imovina 330.624,50 EUR</w:t>
      </w:r>
    </w:p>
    <w:p>
      <w:r>
        <w:t xml:space="preserve">Stanje dugotrajne imovine u odnosu na lani umanjeno je u ukupnom iznosu od 19.010,58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329.039,05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316.619,01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</w:tbl>
    <w:p>
      <w:pPr>
        <w:spacing w:before="0" w:after="0"/>
      </w:pPr>
    </w:p>
    <w:p>
      <w:r>
        <w:t xml:space="preserve">021, 02921 – 316.619,01 EUR </w:t>
      </w:r>
    </w:p>
    <w:p>
      <w:r>
        <w:t xml:space="preserve">Građevinski objekti uslijed amortizacije umanjenje stanja od 12.420,04 EUR u 2025.god.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54,1</w:t>
            </w:r>
          </w:p>
        </w:tc>
      </w:tr>
    </w:tbl>
    <w:p>
      <w:pPr>
        <w:spacing w:before="0" w:after="0"/>
      </w:pPr>
    </w:p>
    <w:p>
      <w:r>
        <w:t xml:space="preserve">022, 02922 – 7.886,63 EUR </w:t>
      </w:r>
    </w:p>
    <w:p>
      <w:r>
        <w:t xml:space="preserve">Postrojenja i oprema - amortizacija u iznosu od 11.038,04 EUR umanjila stanje na ovoj poziciji.</w:t>
      </w:r>
    </w:p>
    <w:p>
      <w:r>
        <w:t xml:space="preserve">Povećanje zbog opremanja ureda psihologice financirane od strane SDŽ u iznosu od 1.947,50 EUR.</w:t>
      </w:r>
    </w:p>
    <w:p>
      <w:r>
        <w:t xml:space="preserve">Donacija fizičke osobe gosp. Ivo Delonga, projektor u vrijednosti 2.500,00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6.228,86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6.228,86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024, 02924 – 6.228,86 EUR</w:t>
      </w:r>
    </w:p>
    <w:p>
      <w:r>
        <w:t xml:space="preserve">Knjige, umjetnička djela i ostale izložbene vrijednosti umanjenje vrijednosti uslijed amortizacije, nabava knjiga u iznosu od 1.500 EUR financirano iz izvora 1.1.1. Općih prihoda- SDŽ i iznos od 440,00 EUR iz izvora 5.4.1. Pomoći- ministarstvo.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40.896,43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43.026,93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042 - Sitni inventar i autogume u uporabi</w:t>
      </w:r>
    </w:p>
    <w:p>
      <w:r>
        <w:t xml:space="preserve">Na poziciji imamo povećanje u iznosu od 2.130,50 EUR koje je nastalo uslijed nabavke polica za arhivu, zavjesa za ured tajništva i učionica.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99.319,72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104.450,57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Financijska imovina 104.450,57 EUR</w:t>
      </w:r>
    </w:p>
    <w:p>
      <w:r>
        <w:t xml:space="preserve">Financijska imovina uvećanje potraživanja za bolovanja preko 42 dana od HZZO – 129 u iznosu od 1.669,19 EUR. </w:t>
      </w:r>
    </w:p>
    <w:p>
      <w:r>
        <w:t xml:space="preserve">Najveći dio potraživanja odnosi se na plaće 12.mjeseca koje se isplaćuju u 01/2026 i iznosi 85.858,52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458.708,25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97,1</w:t>
            </w:r>
          </w:p>
        </w:tc>
      </w:tr>
    </w:tbl>
    <w:p>
      <w:pPr>
        <w:spacing w:before="0" w:after="0"/>
      </w:pPr>
    </w:p>
    <w:p>
      <w:r>
        <w:t xml:space="preserve">B0003 UKUPNE OBVEZE 458.708,25 EUR</w:t>
      </w:r>
    </w:p>
    <w:p>
      <w:r>
        <w:t xml:space="preserve">Stanje ukupnih obveza u odnosu na prethodnu godinu je smanjeno je za 13.879,73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81.049,65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87.665,30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231 – 87.665,30 EUR</w:t>
      </w:r>
    </w:p>
    <w:p>
      <w:r>
        <w:t xml:space="preserve">Obveze za zaposlene su povećane u odnosu na prethodnu godinu u iznosu od 6.615,65 EUR uslijed povećanja putnih troškova, osnovice i koeficijenata plaće. Obveze se odnose na plaću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29.910,38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74,6</w:t>
            </w:r>
          </w:p>
        </w:tc>
      </w:tr>
    </w:tbl>
    <w:p>
      <w:pPr>
        <w:spacing w:before="0" w:after="0"/>
      </w:pPr>
    </w:p>
    <w:p>
      <w:r>
        <w:t xml:space="preserve">232 – 29.910,38 EUR</w:t>
      </w:r>
    </w:p>
    <w:p>
      <w:r>
        <w:t xml:space="preserve">Obveze za materijalne rashode se odnose na nedospjele račune koji će biti plaćeni u 01/2026 po primitku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296,8</w:t>
            </w:r>
          </w:p>
        </w:tc>
      </w:tr>
    </w:tbl>
    <w:p>
      <w:pPr>
        <w:spacing w:before="0" w:after="0"/>
      </w:pPr>
    </w:p>
    <w:p>
      <w:r>
        <w:t xml:space="preserve">234 – 148,79 EUR</w:t>
      </w:r>
    </w:p>
    <w:p>
      <w:r>
        <w:t xml:space="preserve">Obveze po poslovnom računu u banci. Uvećanje u odnosu na prethodnu godinu za isti period korištenja zbog isplate naknada za udžbenike- 243 roditelja učenika srednjih škola.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18,7</w:t>
            </w:r>
          </w:p>
        </w:tc>
      </w:tr>
    </w:tbl>
    <w:p>
      <w:pPr>
        <w:spacing w:before="0" w:after="0"/>
      </w:pPr>
    </w:p>
    <w:p>
      <w:r>
        <w:t xml:space="preserve">239 – 146,23 EUR</w:t>
      </w:r>
    </w:p>
    <w:p>
      <w:r>
        <w:t xml:space="preserve">Obveza za povrat prema korektivnom obračunu u iznosu od 146,23 EUR koja će biti zatvorena nakon provedenog SNU obrasca.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pozicija prema pravilniku o proračunskom računovodstvu na kojoj se nalaze sredstva koja se refundiraju od HZZO po pitanju naknade za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350.607,54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339.854,47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</w:tbl>
    <w:p>
      <w:pPr>
        <w:spacing w:before="0" w:after="0"/>
      </w:pPr>
    </w:p>
    <w:p>
      <w:r>
        <w:t xml:space="preserve">Poslovanje u 2025:</w:t>
      </w:r>
    </w:p>
    <w:p>
      <w:r>
        <w:t xml:space="preserve">922 – Manjak prihoda 100.261,73 EUR</w:t>
      </w:r>
    </w:p>
    <w:p>
      <w:r>
        <w:t xml:space="preserve">Manjak je značajno veći u odnosu na prethodnu godinu jer se prethodne godine plaća 12/2024 nije evidentirala kao rashod nego kao potraživanje. S obzirom na novi pravilnik o proračunskom računovodstvu plaća 12/2025 predstavlja rashod 12. mjeseca i tako dolazi do metodološkog manjka kao i u slučaju rashoda poslovanja za koje još nisu primljeni prihodi.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21.920,92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99.521,93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454,0</w:t>
            </w:r>
          </w:p>
        </w:tc>
      </w:tr>
    </w:tbl>
    <w:p>
      <w:pPr>
        <w:spacing w:before="0" w:after="0"/>
      </w:pPr>
    </w:p>
    <w:p>
      <w:r>
        <w:t xml:space="preserve">Rashodi plaće za 12/2025 uvećali su poziciju zbog novog načina evidencije u iznosu od 85.858,52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991,996 - 585,00 EUR</w:t>
      </w:r>
    </w:p>
    <w:p>
      <w:r>
        <w:t xml:space="preserve">Izvanbilančni zapisi odnose se na opremu dobivenu na korištenje kroz CARNET projekt E-ŠKOLE. Sudski sporovi su isknjiženi iz izvanbilančne evidencije uslijed okončanja svih postupaka.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1.073.189,94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1.275.263,25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Ukupni rashodi za razdoblje iznose 1.275.263,25 EUR pozicija 0922, navedeni iznos odgovara poziciji PR- RAS Y034 ukupni rashodi.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118.853,78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V009 – 118.853,78 EUR</w:t>
      </w:r>
    </w:p>
    <w:p>
      <w:r>
        <w:t xml:space="preserve">Stanje obveza na kraju izvještajnog razdoblja iznosi 118.853,78 EUR, a odnosi se na obveze nastale tijekom 12/2025 koje nisu podmirene jer nadležni proračun do kraja godine nije uplatio sredstva za podmirenje, odnosno obveza dospijeva u 01/2026. Navedene obveze se podmiruju u 01/2026, a odnose se na plaće i račune s rokom dospijeća 01/2026.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1b090aae14abe" /></Relationships>
</file>